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4595" w:type="dxa"/>
        <w:jc w:val="left"/>
        <w:tblInd w:w="5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8670"/>
        <w:gridCol w:w="5924"/>
      </w:tblGrid>
      <w:tr>
        <w:trPr>
          <w:tblHeader w:val="true"/>
          <w:trHeight w:val="1545" w:hRule="atLeast"/>
        </w:trPr>
        <w:tc>
          <w:tcPr>
            <w:tcW w:w="8670" w:type="dxa"/>
            <w:tcBorders/>
          </w:tcPr>
          <w:p>
            <w:pPr>
              <w:pStyle w:val="ConsPlusNormal"/>
              <w:widowControl w:val="false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92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Приложение №1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к муниципальной программе</w:t>
            </w:r>
          </w:p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муниципального образования Северский район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«Управление муниципальными финансами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</w:tbl>
    <w:p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</w:p>
    <w:p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ab/>
        <w:t>Таблица 1</w:t>
      </w:r>
    </w:p>
    <w:p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 xml:space="preserve">Цели, задачи и целевые показатели муниципальной программы «Управление муниципальными финансами» </w:t>
      </w:r>
      <w:r>
        <w:rPr>
          <w:rFonts w:cs="Times New Roman" w:ascii="Times New Roman" w:hAnsi="Times New Roman"/>
          <w:sz w:val="28"/>
          <w:szCs w:val="28"/>
          <w:shd w:fill="FFFFFF" w:val="clear"/>
          <w:lang w:val="en-US"/>
        </w:rPr>
        <w:t>I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 этап (2015-2020 годы)</w:t>
      </w:r>
    </w:p>
    <w:p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14625" w:type="dxa"/>
        <w:jc w:val="left"/>
        <w:tblInd w:w="-11" w:type="dxa"/>
        <w:tblLayout w:type="fixed"/>
        <w:tblCellMar>
          <w:top w:w="0" w:type="dxa"/>
          <w:left w:w="75" w:type="dxa"/>
          <w:bottom w:w="0" w:type="dxa"/>
          <w:right w:w="75" w:type="dxa"/>
        </w:tblCellMar>
        <w:tblLook w:val="0000"/>
      </w:tblPr>
      <w:tblGrid>
        <w:gridCol w:w="567"/>
        <w:gridCol w:w="4475"/>
        <w:gridCol w:w="913"/>
        <w:gridCol w:w="962"/>
        <w:gridCol w:w="1019"/>
        <w:gridCol w:w="1021"/>
        <w:gridCol w:w="1202"/>
        <w:gridCol w:w="1018"/>
        <w:gridCol w:w="1160"/>
        <w:gridCol w:w="1139"/>
        <w:gridCol w:w="1147"/>
      </w:tblGrid>
      <w:tr>
        <w:trPr>
          <w:tblHeader w:val="true"/>
          <w:trHeight w:val="333" w:hRule="atLeast"/>
        </w:trPr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4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9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Ед.измерения</w:t>
            </w:r>
          </w:p>
        </w:tc>
        <w:tc>
          <w:tcPr>
            <w:tcW w:w="638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Значение показателей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blHeader w:val="true"/>
          <w:trHeight w:val="333" w:hRule="atLeast"/>
        </w:trPr>
        <w:tc>
          <w:tcPr>
            <w:tcW w:w="567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475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91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2013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2015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2016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2017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2018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2019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2020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blHeader w:val="true"/>
          <w:trHeight w:val="229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   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11</w:t>
            </w:r>
          </w:p>
        </w:tc>
      </w:tr>
      <w:tr>
        <w:trPr>
          <w:trHeight w:val="614" w:hRule="atLeast"/>
        </w:trPr>
        <w:tc>
          <w:tcPr>
            <w:tcW w:w="14623" w:type="dxa"/>
            <w:gridSpan w:val="11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Муниципальная программа «Управление муниципальными финансами»</w:t>
            </w:r>
          </w:p>
        </w:tc>
      </w:tr>
      <w:tr>
        <w:trPr>
          <w:trHeight w:val="614" w:hRule="atLeast"/>
        </w:trPr>
        <w:tc>
          <w:tcPr>
            <w:tcW w:w="14623" w:type="dxa"/>
            <w:gridSpan w:val="11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 1 «Организация бюджетного процесса в муниципальном образовании Северский район»</w:t>
            </w:r>
          </w:p>
        </w:tc>
      </w:tr>
      <w:tr>
        <w:trPr>
          <w:trHeight w:val="447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Объем просроченной кредиторской   задолженности бюджета муниципального района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1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</w:tr>
      <w:tr>
        <w:trPr>
          <w:trHeight w:val="447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Отношение размера дефицита бюджета к годовому объему доходов бюджета без учета утвержденного объема    безвозмездных поступлений   из  бюджета других уровней </w:t>
            </w:r>
            <w:hyperlink w:anchor="Par419">
              <w:r>
                <w:rPr>
                  <w:rFonts w:cs="Times New Roman" w:ascii="Times New Roman" w:hAnsi="Times New Roman"/>
                  <w:sz w:val="24"/>
                  <w:szCs w:val="24"/>
                </w:rPr>
                <w:t>&lt;*&gt;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>и  поступлений налоговых доходов по дополнительным нормативам отчислений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13,7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13,7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</w:tr>
      <w:tr>
        <w:trPr>
          <w:trHeight w:val="447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Удельный вес расходов бюджета,  формируемых в рамках программ, в общем объеме расходов бюджета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11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92,4</w:t>
            </w:r>
          </w:p>
        </w:tc>
      </w:tr>
      <w:tr>
        <w:trPr>
          <w:trHeight w:val="358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Соблюдение порядка и сроков       разработки проекта бюджета муниципального района, установленных бюджетным законодательством и нормативным правовым актом органа местного самоуправления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</w:tr>
      <w:tr>
        <w:trPr>
          <w:trHeight w:val="1951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Составление и утверждение сводной бюджетной росписи бюджета  муниципального района в сроки,   установленные бюджетным   законодательством Российской   Федерации и нормативным правовым  актом органа местного   самоуправления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 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1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 года</w:t>
            </w:r>
          </w:p>
        </w:tc>
      </w:tr>
      <w:tr>
        <w:trPr>
          <w:trHeight w:val="925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Доведение показателей сводной   бюджетной росписи и лимитов   бюджетных обязательств до главных распорядителей средств бюджета    муниципального района  в сроки,  установленные законодательством   Российской Федерации и нормативным правовым актом органа местного   самоуправления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  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 года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  года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1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</w:tr>
      <w:tr>
        <w:trPr>
          <w:trHeight w:val="1340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Составление и представление в Совет муниципального образования Северский район годового отчета об исполнении   местного бюджета в сроки, установленные бюджетным    законодательством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Российской   Федерации и нормативным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правовым актом органа местного     самоуправления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года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 года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 года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 года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года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года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 года</w:t>
            </w:r>
          </w:p>
        </w:tc>
        <w:tc>
          <w:tcPr>
            <w:tcW w:w="11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года</w:t>
            </w:r>
          </w:p>
        </w:tc>
      </w:tr>
      <w:tr>
        <w:trPr>
          <w:trHeight w:val="381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Проведение публичных слушаний по проекту бюджета муниципального района на очередной финансовый год и плановый период и по годовому отчету об исполнении местного бюджета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</w:tr>
      <w:tr>
        <w:trPr>
          <w:trHeight w:val="1663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Поддержание раздела Финансового управления на официальном сайте Администрации муниципального образования Северский район в информационно-телекоммуникационной сети Интернет в актуальном   состоянии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</w:tr>
      <w:tr>
        <w:trPr>
          <w:trHeight w:val="570" w:hRule="atLeast"/>
        </w:trPr>
        <w:tc>
          <w:tcPr>
            <w:tcW w:w="14623" w:type="dxa"/>
            <w:gridSpan w:val="11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2 "Обеспечение реализации муниципальной программы"</w:t>
            </w:r>
          </w:p>
        </w:tc>
      </w:tr>
      <w:tr>
        <w:trPr>
          <w:trHeight w:val="1340" w:hRule="atLeast"/>
        </w:trPr>
        <w:tc>
          <w:tcPr>
            <w:tcW w:w="567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Наличие действующей интегрированной информационной    системы управления муниципальными финансами, в рамках которой    обеспечивается взаимосвязь всех инструментов стратегического и   бюджетного планирования, единство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процессов составления и исполнения местного бюджета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47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</w:tr>
      <w:tr>
        <w:trPr>
          <w:trHeight w:val="431" w:hRule="atLeast"/>
        </w:trPr>
        <w:tc>
          <w:tcPr>
            <w:tcW w:w="14623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3 «Управление муниципальным долгом - обслуживание муниципального долга»</w:t>
            </w:r>
          </w:p>
        </w:tc>
      </w:tr>
      <w:tr>
        <w:trPr>
          <w:trHeight w:val="755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Отношение объема муниципального   долга к годовому объему доходов бюджета без учета утвержденного   объема безвозмездных поступлений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из бюджетов других уровней  бюджетов и  поступлений налоговых доходов по дополнительным нормативам отчислений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24,1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40,3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10,7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10,8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11,4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10,1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6,9</w:t>
            </w:r>
          </w:p>
        </w:tc>
        <w:tc>
          <w:tcPr>
            <w:tcW w:w="1147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7,2</w:t>
            </w:r>
          </w:p>
        </w:tc>
      </w:tr>
      <w:tr>
        <w:trPr>
          <w:trHeight w:val="1340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Доля расходов на обслуживание     муниципального долга в общем объеме расходов бюджета (за   исключением расходов,   осуществляемых за счет субвенций  из бюджетов вышестоящих уровней)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  15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     1,5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    3,0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15,0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7,0</w:t>
            </w:r>
          </w:p>
        </w:tc>
      </w:tr>
      <w:tr>
        <w:trPr>
          <w:trHeight w:val="768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Объем просроченной задолженности  по долговым обязательствам муниципального района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</w:tr>
      <w:tr>
        <w:trPr>
          <w:trHeight w:val="581" w:hRule="atLeast"/>
        </w:trPr>
        <w:tc>
          <w:tcPr>
            <w:tcW w:w="14623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4 «Предоставление межбюджетных трансфертов»</w:t>
            </w:r>
          </w:p>
        </w:tc>
      </w:tr>
      <w:tr>
        <w:trPr>
          <w:trHeight w:val="594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ConsPlusCel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Минимально гарантированный уровень расчётной бюджетной обеспеченности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147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67</w:t>
            </w:r>
          </w:p>
        </w:tc>
      </w:tr>
      <w:tr>
        <w:trPr>
          <w:trHeight w:val="690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Содействие сбалансированности бюджетов поселений Северского района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>
          <w:trHeight w:val="900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ConsPlusCell"/>
              <w:widowControl w:val="false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Объем иных межбюджетных трансфертов  для финансового обеспечения переданных полномочий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</w:tr>
      <w:tr>
        <w:trPr>
          <w:trHeight w:val="450" w:hRule="atLeast"/>
        </w:trPr>
        <w:tc>
          <w:tcPr>
            <w:tcW w:w="14623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 5 «Резервный фонд администрации муниципального образования Северский район»</w:t>
            </w:r>
          </w:p>
        </w:tc>
      </w:tr>
      <w:tr>
        <w:trPr>
          <w:trHeight w:val="855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ConsPlusCell"/>
              <w:widowControl w:val="false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Отношение резервного  фонда администрации к общему объему расходов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 (не более)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47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</w:tr>
    </w:tbl>
    <w:p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  Таблица 2</w:t>
        <w:tab/>
        <w:tab/>
        <w:tab/>
        <w:tab/>
        <w:tab/>
        <w:tab/>
        <w:tab/>
        <w:tab/>
        <w:tab/>
        <w:tab/>
        <w:tab/>
        <w:tab/>
        <w:tab/>
        <w:tab/>
        <w:t xml:space="preserve"> </w:t>
      </w:r>
    </w:p>
    <w:p>
      <w:pPr>
        <w:pStyle w:val="ConsPlusNormal"/>
        <w:jc w:val="center"/>
        <w:rPr>
          <w:shd w:fill="FFFFFF" w:val="clear"/>
        </w:rPr>
      </w:pPr>
      <w:r>
        <w:rPr>
          <w:rFonts w:cs="Times New Roman" w:ascii="Times New Roman" w:hAnsi="Times New Roman"/>
          <w:sz w:val="28"/>
          <w:szCs w:val="28"/>
          <w:shd w:fill="FFFFFF" w:val="clear"/>
        </w:rPr>
        <w:t>Цели, задачи и целевые показатели муниципальной программы «Управление муниципальными финансами»</w:t>
      </w:r>
    </w:p>
    <w:p>
      <w:pPr>
        <w:pStyle w:val="ConsPlusNormal"/>
        <w:jc w:val="center"/>
        <w:rPr>
          <w:shd w:fill="FFFFFF" w:val="clear"/>
        </w:rPr>
      </w:pP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 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  <w:lang w:val="en-US"/>
        </w:rPr>
        <w:t>II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 этап (20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21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>-2025 годы)</w:t>
      </w:r>
    </w:p>
    <w:p>
      <w:pPr>
        <w:pStyle w:val="ConsPlusNormal"/>
        <w:jc w:val="center"/>
        <w:rPr>
          <w:shd w:fill="FFFFFF" w:val="clear"/>
        </w:rPr>
      </w:pPr>
      <w:r>
        <w:rPr>
          <w:shd w:fill="FFFFFF" w:val="clear"/>
        </w:rPr>
      </w:r>
    </w:p>
    <w:tbl>
      <w:tblPr>
        <w:tblW w:w="14595" w:type="dxa"/>
        <w:jc w:val="left"/>
        <w:tblInd w:w="44" w:type="dxa"/>
        <w:tblLayout w:type="fixed"/>
        <w:tblCellMar>
          <w:top w:w="0" w:type="dxa"/>
          <w:left w:w="75" w:type="dxa"/>
          <w:bottom w:w="0" w:type="dxa"/>
          <w:right w:w="75" w:type="dxa"/>
        </w:tblCellMar>
        <w:tblLook w:val="0000"/>
      </w:tblPr>
      <w:tblGrid>
        <w:gridCol w:w="509"/>
        <w:gridCol w:w="6467"/>
        <w:gridCol w:w="1125"/>
        <w:gridCol w:w="1261"/>
        <w:gridCol w:w="1250"/>
        <w:gridCol w:w="1317"/>
        <w:gridCol w:w="1329"/>
        <w:gridCol w:w="1335"/>
      </w:tblGrid>
      <w:tr>
        <w:trPr>
          <w:tblHeader w:val="true"/>
          <w:trHeight w:val="333" w:hRule="atLeast"/>
        </w:trPr>
        <w:tc>
          <w:tcPr>
            <w:tcW w:w="5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№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п/п</w:t>
            </w:r>
          </w:p>
        </w:tc>
        <w:tc>
          <w:tcPr>
            <w:tcW w:w="64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Наименование показателя</w:t>
            </w:r>
          </w:p>
        </w:tc>
        <w:tc>
          <w:tcPr>
            <w:tcW w:w="11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Ед.измерения</w:t>
            </w:r>
          </w:p>
        </w:tc>
        <w:tc>
          <w:tcPr>
            <w:tcW w:w="649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Значение показателей</w:t>
            </w:r>
          </w:p>
        </w:tc>
      </w:tr>
      <w:tr>
        <w:trPr>
          <w:tblHeader w:val="true"/>
          <w:trHeight w:val="333" w:hRule="atLeast"/>
        </w:trPr>
        <w:tc>
          <w:tcPr>
            <w:tcW w:w="509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6467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1125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2021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12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2022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13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2023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13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13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2025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>
          <w:tblHeader w:val="true"/>
          <w:trHeight w:val="229" w:hRule="atLeast"/>
        </w:trPr>
        <w:tc>
          <w:tcPr>
            <w:tcW w:w="5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</w:t>
            </w:r>
          </w:p>
        </w:tc>
        <w:tc>
          <w:tcPr>
            <w:tcW w:w="64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       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3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4</w:t>
            </w:r>
          </w:p>
        </w:tc>
        <w:tc>
          <w:tcPr>
            <w:tcW w:w="12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5</w:t>
            </w:r>
          </w:p>
        </w:tc>
        <w:tc>
          <w:tcPr>
            <w:tcW w:w="13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6</w:t>
            </w:r>
          </w:p>
        </w:tc>
        <w:tc>
          <w:tcPr>
            <w:tcW w:w="13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7</w:t>
            </w:r>
          </w:p>
        </w:tc>
        <w:tc>
          <w:tcPr>
            <w:tcW w:w="13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8</w:t>
            </w:r>
          </w:p>
        </w:tc>
      </w:tr>
      <w:tr>
        <w:trPr>
          <w:trHeight w:val="134" w:hRule="atLeast"/>
        </w:trPr>
        <w:tc>
          <w:tcPr>
            <w:tcW w:w="14593" w:type="dxa"/>
            <w:gridSpan w:val="8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Муниципальная программа «Управление муниципальными финансами»</w:t>
            </w:r>
          </w:p>
        </w:tc>
      </w:tr>
      <w:tr>
        <w:trPr>
          <w:trHeight w:val="134" w:hRule="atLeast"/>
        </w:trPr>
        <w:tc>
          <w:tcPr>
            <w:tcW w:w="14593" w:type="dxa"/>
            <w:gridSpan w:val="8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Основное мероприятие  1 «Организация бюджетного процесса в муниципальном образовании Северский район»</w:t>
            </w:r>
          </w:p>
        </w:tc>
      </w:tr>
      <w:tr>
        <w:trPr>
          <w:trHeight w:val="772" w:hRule="atLeast"/>
        </w:trPr>
        <w:tc>
          <w:tcPr>
            <w:tcW w:w="5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1.</w:t>
            </w:r>
          </w:p>
        </w:tc>
        <w:tc>
          <w:tcPr>
            <w:tcW w:w="64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Объем просроченной кредиторской   задолженности бюджета муниципального района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да/нет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2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3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3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3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</w:tr>
      <w:tr>
        <w:trPr>
          <w:trHeight w:val="1485" w:hRule="atLeast"/>
        </w:trPr>
        <w:tc>
          <w:tcPr>
            <w:tcW w:w="5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2.</w:t>
            </w:r>
          </w:p>
        </w:tc>
        <w:tc>
          <w:tcPr>
            <w:tcW w:w="64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Отношение размера дефицита бюджета к годовому объему доходов бюджета без учета утвержденного объема    безвозмездных поступлений   из  бюджета других уровней бюджетов  </w:t>
            </w:r>
            <w:hyperlink w:anchor="Par419">
              <w:r>
                <w:rPr>
                  <w:rFonts w:cs="Times New Roman" w:ascii="Times New Roman" w:hAnsi="Times New Roman"/>
                  <w:sz w:val="24"/>
                  <w:szCs w:val="24"/>
                  <w:shd w:fill="FFFFFF" w:val="clear"/>
                </w:rPr>
                <w:t>&lt;*&gt;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и  поступлений налоговых доходов по дополнительным нормативам отчислений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 (не более)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</w:t>
            </w:r>
          </w:p>
        </w:tc>
        <w:tc>
          <w:tcPr>
            <w:tcW w:w="12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</w:t>
            </w:r>
          </w:p>
        </w:tc>
        <w:tc>
          <w:tcPr>
            <w:tcW w:w="13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</w:t>
            </w:r>
          </w:p>
        </w:tc>
        <w:tc>
          <w:tcPr>
            <w:tcW w:w="13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</w:t>
            </w:r>
          </w:p>
        </w:tc>
        <w:tc>
          <w:tcPr>
            <w:tcW w:w="13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</w:t>
            </w:r>
          </w:p>
        </w:tc>
      </w:tr>
      <w:tr>
        <w:trPr>
          <w:trHeight w:val="735" w:hRule="atLeast"/>
        </w:trPr>
        <w:tc>
          <w:tcPr>
            <w:tcW w:w="5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3.</w:t>
            </w:r>
          </w:p>
        </w:tc>
        <w:tc>
          <w:tcPr>
            <w:tcW w:w="64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Удельный вес расходов бюджета,  формируемых в рамках программ, в общем объеме расходов бюджета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91,0</w:t>
            </w:r>
          </w:p>
        </w:tc>
        <w:tc>
          <w:tcPr>
            <w:tcW w:w="12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91,3</w:t>
            </w:r>
          </w:p>
        </w:tc>
        <w:tc>
          <w:tcPr>
            <w:tcW w:w="13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93,</w:t>
            </w: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2</w:t>
            </w:r>
          </w:p>
        </w:tc>
        <w:tc>
          <w:tcPr>
            <w:tcW w:w="13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92,1</w:t>
            </w:r>
          </w:p>
        </w:tc>
        <w:tc>
          <w:tcPr>
            <w:tcW w:w="13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90,8</w:t>
            </w:r>
          </w:p>
        </w:tc>
      </w:tr>
      <w:tr>
        <w:trPr>
          <w:trHeight w:val="1139" w:hRule="atLeast"/>
        </w:trPr>
        <w:tc>
          <w:tcPr>
            <w:tcW w:w="5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4.</w:t>
            </w:r>
          </w:p>
        </w:tc>
        <w:tc>
          <w:tcPr>
            <w:tcW w:w="64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Соблюдение порядка и сроков разработки проекта бюджета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муниципального района, установленных бюджетным законодательством и нормативным правовым актом органа местного самоуправления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да/нет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2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</w:tr>
      <w:tr>
        <w:trPr>
          <w:trHeight w:val="1699" w:hRule="atLeast"/>
        </w:trPr>
        <w:tc>
          <w:tcPr>
            <w:tcW w:w="5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5.</w:t>
            </w:r>
          </w:p>
        </w:tc>
        <w:tc>
          <w:tcPr>
            <w:tcW w:w="64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Составление и утверждение сводной бюджетной росписи бюджета  муниципального района в сроки,   установленные бюджетным   законодательством Российской   Федерации и нормативным правовым  актом органа местного   самоуправления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срок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 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2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3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3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3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</w:tr>
      <w:tr>
        <w:trPr>
          <w:trHeight w:val="1769" w:hRule="atLeast"/>
        </w:trPr>
        <w:tc>
          <w:tcPr>
            <w:tcW w:w="5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6.</w:t>
            </w:r>
          </w:p>
        </w:tc>
        <w:tc>
          <w:tcPr>
            <w:tcW w:w="64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Доведение показателей сводной   бюджетной росписи и лимитов   бюджетных обязательств до главных распорядителей средств бюджета    муниципального района  в сроки,  установленные законодательством   Российской Федерации и нормативным правовым актом органа местного   самоуправления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срок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  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2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3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 года</w:t>
            </w:r>
          </w:p>
        </w:tc>
        <w:tc>
          <w:tcPr>
            <w:tcW w:w="13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3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</w:tr>
      <w:tr>
        <w:trPr>
          <w:trHeight w:val="1563" w:hRule="atLeast"/>
        </w:trPr>
        <w:tc>
          <w:tcPr>
            <w:tcW w:w="5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7.</w:t>
            </w:r>
          </w:p>
        </w:tc>
        <w:tc>
          <w:tcPr>
            <w:tcW w:w="64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Составление и представление в Совет муниципального образования Северский район годового отчета об исполнении   местного бюджета в сроки, установленные бюджетным    законодательством Российской   Федерации и нормативным правовым актом органа местного     самоуправления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срок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текущего года</w:t>
            </w:r>
          </w:p>
        </w:tc>
        <w:tc>
          <w:tcPr>
            <w:tcW w:w="12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текущего   года</w:t>
            </w:r>
          </w:p>
        </w:tc>
        <w:tc>
          <w:tcPr>
            <w:tcW w:w="13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текущего   года</w:t>
            </w:r>
          </w:p>
        </w:tc>
        <w:tc>
          <w:tcPr>
            <w:tcW w:w="13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текущего   года</w:t>
            </w:r>
          </w:p>
        </w:tc>
        <w:tc>
          <w:tcPr>
            <w:tcW w:w="13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текущего   года</w:t>
            </w:r>
          </w:p>
        </w:tc>
      </w:tr>
      <w:tr>
        <w:trPr>
          <w:trHeight w:val="1272" w:hRule="atLeast"/>
        </w:trPr>
        <w:tc>
          <w:tcPr>
            <w:tcW w:w="5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8.</w:t>
            </w:r>
          </w:p>
        </w:tc>
        <w:tc>
          <w:tcPr>
            <w:tcW w:w="64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Проведение публичных слушаний по проекту бюджета муниципального района на очередной финансовый год и плановый период и по годовому отчету об исполнении местного бюджета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да/нет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2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</w:tr>
      <w:tr>
        <w:trPr>
          <w:trHeight w:val="1259" w:hRule="atLeast"/>
        </w:trPr>
        <w:tc>
          <w:tcPr>
            <w:tcW w:w="509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9.</w:t>
            </w:r>
          </w:p>
        </w:tc>
        <w:tc>
          <w:tcPr>
            <w:tcW w:w="6467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Поддержание раздела Финансового управления на официальном сайте Администрации муниципального образования Северский район в информационно-телекоммуникационной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сети Интернет в актуальном   состоянии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да/нет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25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17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29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</w:tr>
      <w:tr>
        <w:trPr>
          <w:trHeight w:val="512" w:hRule="atLeast"/>
        </w:trPr>
        <w:tc>
          <w:tcPr>
            <w:tcW w:w="14593" w:type="dxa"/>
            <w:gridSpan w:val="8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outlineLvl w:val="2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Основное мероприятие 2 "Обеспечение реализации муниципальной программы"</w:t>
            </w:r>
          </w:p>
        </w:tc>
      </w:tr>
      <w:tr>
        <w:trPr>
          <w:trHeight w:val="1590" w:hRule="atLeast"/>
        </w:trPr>
        <w:tc>
          <w:tcPr>
            <w:tcW w:w="50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10.</w:t>
            </w:r>
          </w:p>
        </w:tc>
        <w:tc>
          <w:tcPr>
            <w:tcW w:w="6467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Наличие действующей интегрированной информационной    системы управления муниципальными финансами, в рамках которой    обеспечивается взаимосвязь всех инструментов стратегического и   бюджетного планирования, единство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процессов составления и исполнения местного бюджета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да/нет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25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17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2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3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</w:tr>
      <w:tr>
        <w:trPr>
          <w:trHeight w:val="322" w:hRule="atLeast"/>
        </w:trPr>
        <w:tc>
          <w:tcPr>
            <w:tcW w:w="14593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Основное мероприятие 3 «Управление муниципальным долгом — обслуживание муниципального долга»</w:t>
            </w:r>
          </w:p>
        </w:tc>
      </w:tr>
      <w:tr>
        <w:trPr>
          <w:trHeight w:val="1544" w:hRule="atLeast"/>
        </w:trPr>
        <w:tc>
          <w:tcPr>
            <w:tcW w:w="509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11.</w:t>
            </w:r>
          </w:p>
        </w:tc>
        <w:tc>
          <w:tcPr>
            <w:tcW w:w="6467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Отношение объема муниципального   долга к годовому объему доходов бюджета без учета утвержденного  объема безвозмездных поступлений из бюджетов </w:t>
            </w: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других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уровней  бюджетов и  поступлений налоговых доходов по дополнительным нормативам отчислений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 (не более)</w:t>
            </w:r>
          </w:p>
        </w:tc>
        <w:tc>
          <w:tcPr>
            <w:tcW w:w="126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4,7</w:t>
            </w:r>
          </w:p>
        </w:tc>
        <w:tc>
          <w:tcPr>
            <w:tcW w:w="125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0,0</w:t>
            </w:r>
          </w:p>
        </w:tc>
        <w:tc>
          <w:tcPr>
            <w:tcW w:w="1317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5,8</w:t>
            </w:r>
          </w:p>
        </w:tc>
        <w:tc>
          <w:tcPr>
            <w:tcW w:w="132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8,5</w:t>
            </w:r>
          </w:p>
        </w:tc>
        <w:tc>
          <w:tcPr>
            <w:tcW w:w="133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5,7</w:t>
            </w:r>
          </w:p>
        </w:tc>
      </w:tr>
      <w:tr>
        <w:trPr>
          <w:trHeight w:val="1191" w:hRule="atLeast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12.</w:t>
            </w:r>
          </w:p>
        </w:tc>
        <w:tc>
          <w:tcPr>
            <w:tcW w:w="6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Доля расходов на обслуживание     муниципального долга в общем объеме расходов бюджета (за   исключением расходов,   осуществляемых за счет субвенций  из бюджетов вышестоящих уровней)</w:t>
            </w: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 (не более)</w:t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0,15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0,2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</w:t>
            </w:r>
          </w:p>
        </w:tc>
      </w:tr>
      <w:tr>
        <w:trPr>
          <w:trHeight w:val="735" w:hRule="atLeast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13.</w:t>
            </w:r>
          </w:p>
        </w:tc>
        <w:tc>
          <w:tcPr>
            <w:tcW w:w="646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Объем просроченной задолженности  по долговым обязательствам муниципального района</w:t>
            </w: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да/нет</w:t>
            </w:r>
          </w:p>
        </w:tc>
        <w:tc>
          <w:tcPr>
            <w:tcW w:w="12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</w:tr>
      <w:tr>
        <w:trPr>
          <w:trHeight w:val="415" w:hRule="atLeast"/>
        </w:trPr>
        <w:tc>
          <w:tcPr>
            <w:tcW w:w="14593" w:type="dxa"/>
            <w:gridSpan w:val="8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Основное мероприятие 4 «Предоставление межбюджетных трансфертов»</w:t>
            </w:r>
          </w:p>
        </w:tc>
      </w:tr>
      <w:tr>
        <w:trPr>
          <w:trHeight w:val="659" w:hRule="atLeast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14.</w:t>
            </w:r>
          </w:p>
        </w:tc>
        <w:tc>
          <w:tcPr>
            <w:tcW w:w="646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sPlusCell"/>
              <w:widowControl w:val="false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Минимально гарантированный уровень расчётной бюджетной обеспеченности</w:t>
            </w: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</w:t>
            </w:r>
          </w:p>
        </w:tc>
        <w:tc>
          <w:tcPr>
            <w:tcW w:w="12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69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62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58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54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58</w:t>
            </w:r>
          </w:p>
        </w:tc>
      </w:tr>
      <w:tr>
        <w:trPr>
          <w:trHeight w:val="675" w:hRule="atLeast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15.</w:t>
            </w:r>
          </w:p>
        </w:tc>
        <w:tc>
          <w:tcPr>
            <w:tcW w:w="646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Содействие сбалансированности бюджетов поселений Северского района</w:t>
            </w: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</w:t>
            </w:r>
          </w:p>
        </w:tc>
        <w:tc>
          <w:tcPr>
            <w:tcW w:w="12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-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-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-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-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-</w:t>
            </w:r>
          </w:p>
        </w:tc>
      </w:tr>
      <w:tr>
        <w:trPr>
          <w:trHeight w:val="659" w:hRule="atLeast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16.</w:t>
            </w:r>
          </w:p>
        </w:tc>
        <w:tc>
          <w:tcPr>
            <w:tcW w:w="646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sPlusCell"/>
              <w:widowControl w:val="false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Объем иных межбюджетных трансфертов  для финансового обеспечения переданных полномочий</w:t>
            </w: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</w:t>
            </w:r>
          </w:p>
        </w:tc>
        <w:tc>
          <w:tcPr>
            <w:tcW w:w="12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100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100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100</w:t>
            </w:r>
          </w:p>
        </w:tc>
      </w:tr>
      <w:tr>
        <w:trPr>
          <w:trHeight w:val="398" w:hRule="atLeast"/>
        </w:trPr>
        <w:tc>
          <w:tcPr>
            <w:tcW w:w="14593" w:type="dxa"/>
            <w:gridSpan w:val="8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Основное мероприятие  5 «Резервный фонд администрации муниципального образования Северский район»</w:t>
            </w:r>
          </w:p>
        </w:tc>
      </w:tr>
      <w:tr>
        <w:trPr>
          <w:trHeight w:val="667" w:hRule="atLeast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17.</w:t>
            </w:r>
          </w:p>
        </w:tc>
        <w:tc>
          <w:tcPr>
            <w:tcW w:w="646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sPlusCell"/>
              <w:widowControl w:val="false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Отношение резервного  фонда администрации к общему объему расходов</w:t>
            </w: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 (не более)</w:t>
            </w:r>
          </w:p>
        </w:tc>
        <w:tc>
          <w:tcPr>
            <w:tcW w:w="12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3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3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3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3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3</w:t>
            </w:r>
          </w:p>
        </w:tc>
      </w:tr>
    </w:tbl>
    <w:p>
      <w:pPr>
        <w:pStyle w:val="ConsPlusNormal"/>
        <w:ind w:firstLine="540"/>
        <w:rPr>
          <w:rFonts w:ascii="Times New Roman" w:hAnsi="Times New Roman" w:cs="Times New Roman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sz w:val="28"/>
          <w:szCs w:val="28"/>
          <w:shd w:fill="FFFFFF" w:val="clear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--------------------------------</w:t>
      </w:r>
    </w:p>
    <w:p>
      <w:pPr>
        <w:pStyle w:val="ConsPlusNormal"/>
        <w:ind w:firstLine="540"/>
        <w:jc w:val="both"/>
        <w:rPr/>
      </w:pPr>
      <w:bookmarkStart w:id="0" w:name="Par419"/>
      <w:bookmarkEnd w:id="0"/>
      <w:r>
        <w:rPr>
          <w:rFonts w:cs="Times New Roman" w:ascii="Times New Roman" w:hAnsi="Times New Roman"/>
          <w:color w:val="000000"/>
          <w:sz w:val="24"/>
          <w:szCs w:val="24"/>
        </w:rPr>
        <w:t xml:space="preserve">&lt;*&gt; В соответствии со </w:t>
      </w:r>
      <w:hyperlink r:id="rId2">
        <w:r>
          <w:rPr>
            <w:rFonts w:cs="Times New Roman" w:ascii="Times New Roman" w:hAnsi="Times New Roman"/>
            <w:color w:val="000000"/>
            <w:sz w:val="24"/>
            <w:szCs w:val="24"/>
          </w:rPr>
          <w:t>статьей 92.1</w:t>
        </w:r>
      </w:hyperlink>
      <w:r>
        <w:rPr>
          <w:rFonts w:cs="Times New Roman" w:ascii="Times New Roman" w:hAnsi="Times New Roman"/>
          <w:color w:val="000000"/>
          <w:sz w:val="24"/>
          <w:szCs w:val="24"/>
        </w:rPr>
        <w:t xml:space="preserve"> Бюджетного кодекса Российской Федерации до 1 января 2017 года в случае утверждения решением Совета муниципального образования Северский район о бюджете муниципального района в  составе источников финансирования дефицита бюджета разницы между полученными и погашенными муниципальным образованием бюджетными кредитами, предоставленными бюджету  муниципального района другими бюджетами бюджетной системы Российской</w:t>
      </w:r>
      <w:r>
        <w:rPr>
          <w:rFonts w:cs="Times New Roman" w:ascii="Times New Roman" w:hAnsi="Times New Roman"/>
          <w:sz w:val="24"/>
          <w:szCs w:val="24"/>
        </w:rPr>
        <w:t xml:space="preserve"> Федерации, дефицит бюджета может превысить предельный размер (10 процентов) в пределах указанной разницы.</w:t>
      </w:r>
    </w:p>
    <w:p>
      <w:pPr>
        <w:pStyle w:val="ConsPlusNormal"/>
        <w:ind w:firstLine="540"/>
        <w:jc w:val="right"/>
        <w:rPr/>
      </w:pPr>
      <w:r>
        <w:rPr>
          <w:rFonts w:cs="Times New Roman" w:ascii="Times New Roman" w:hAnsi="Times New Roman"/>
          <w:sz w:val="24"/>
          <w:szCs w:val="24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       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center" w:pos="6979" w:leader="none"/>
          <w:tab w:val="left" w:pos="12810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  <w:t xml:space="preserve">Заместитель главы администрации </w:t>
      </w:r>
    </w:p>
    <w:p>
      <w:pPr>
        <w:pStyle w:val="Normal"/>
        <w:tabs>
          <w:tab w:val="clear" w:pos="708"/>
          <w:tab w:val="center" w:pos="6979" w:leader="none"/>
          <w:tab w:val="left" w:pos="12810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  <w:t>(начальник финансового управления</w:t>
        <w:tab/>
        <w:t>)                                                                                                                       К.В.Леуцкая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outlineLvl w:val="0"/>
        <w:rPr/>
      </w:pPr>
      <w:r>
        <w:rPr/>
      </w:r>
    </w:p>
    <w:sectPr>
      <w:type w:val="nextPage"/>
      <w:pgSz w:orient="landscape" w:w="16838" w:h="11906"/>
      <w:pgMar w:left="1134" w:right="1134" w:gutter="0" w:header="0" w:top="1701" w:footer="0" w:bottom="567"/>
      <w:pgNumType w:fmt="decimal"/>
      <w:formProt w:val="false"/>
      <w:textDirection w:val="lrTb"/>
      <w:docGrid w:type="default" w:linePitch="299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egoe UI" w:cs="Tahoma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61503"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Segoe UI" w:cs="Tahoma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qFormat/>
    <w:rsid w:val="00261503"/>
    <w:rPr/>
  </w:style>
  <w:style w:type="character" w:styleId="Style15" w:customStyle="1">
    <w:name w:val="Нижний колонтитул Знак"/>
    <w:basedOn w:val="DefaultParagraphFont"/>
    <w:qFormat/>
    <w:rsid w:val="00261503"/>
    <w:rPr/>
  </w:style>
  <w:style w:type="character" w:styleId="Style16" w:customStyle="1">
    <w:name w:val="Схема документа Знак"/>
    <w:basedOn w:val="DefaultParagraphFont"/>
    <w:qFormat/>
    <w:rsid w:val="00261503"/>
    <w:rPr>
      <w:rFonts w:ascii="Tahoma" w:hAnsi="Tahoma"/>
      <w:sz w:val="16"/>
      <w:szCs w:val="16"/>
    </w:rPr>
  </w:style>
  <w:style w:type="character" w:styleId="Style17" w:customStyle="1">
    <w:name w:val="Текст выноски Знак"/>
    <w:basedOn w:val="DefaultParagraphFont"/>
    <w:qFormat/>
    <w:rsid w:val="00261503"/>
    <w:rPr>
      <w:rFonts w:ascii="Segoe UI" w:hAnsi="Segoe UI" w:cs="Segoe UI"/>
      <w:sz w:val="18"/>
      <w:szCs w:val="18"/>
    </w:rPr>
  </w:style>
  <w:style w:type="character" w:styleId="Style18" w:customStyle="1">
    <w:name w:val="Hyperlink"/>
    <w:rsid w:val="00261503"/>
    <w:rPr>
      <w:color w:val="000080"/>
      <w:u w:val="single"/>
    </w:rPr>
  </w:style>
  <w:style w:type="paragraph" w:styleId="Style19" w:customStyle="1">
    <w:name w:val="Заголовок"/>
    <w:basedOn w:val="Normal"/>
    <w:next w:val="Style20"/>
    <w:qFormat/>
    <w:rsid w:val="00261503"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0">
    <w:name w:val="Body Text"/>
    <w:basedOn w:val="Normal"/>
    <w:rsid w:val="00261503"/>
    <w:pPr>
      <w:spacing w:before="0" w:after="140"/>
    </w:pPr>
    <w:rPr/>
  </w:style>
  <w:style w:type="paragraph" w:styleId="Style21">
    <w:name w:val="List"/>
    <w:basedOn w:val="Style20"/>
    <w:rsid w:val="00261503"/>
    <w:pPr/>
    <w:rPr>
      <w:rFonts w:cs="Mangal"/>
    </w:rPr>
  </w:style>
  <w:style w:type="paragraph" w:styleId="Style22" w:customStyle="1">
    <w:name w:val="Caption"/>
    <w:basedOn w:val="Normal"/>
    <w:qFormat/>
    <w:rsid w:val="0026150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Arial"/>
    </w:rPr>
  </w:style>
  <w:style w:type="paragraph" w:styleId="Indexheading">
    <w:name w:val="index heading"/>
    <w:basedOn w:val="Normal"/>
    <w:qFormat/>
    <w:rsid w:val="00261503"/>
    <w:pPr>
      <w:suppressLineNumbers/>
    </w:pPr>
    <w:rPr>
      <w:rFonts w:cs="Mangal"/>
    </w:rPr>
  </w:style>
  <w:style w:type="paragraph" w:styleId="ConsPlusNormal" w:customStyle="1">
    <w:name w:val="ConsPlusNormal"/>
    <w:qFormat/>
    <w:rsid w:val="00261503"/>
    <w:pPr>
      <w:widowControl/>
      <w:suppressAutoHyphens w:val="true"/>
      <w:bidi w:val="0"/>
      <w:spacing w:before="0" w:after="0"/>
      <w:jc w:val="left"/>
    </w:pPr>
    <w:rPr>
      <w:rFonts w:ascii="Arial" w:hAnsi="Arial" w:eastAsia="Calibri" w:cs="Arial"/>
      <w:color w:val="auto"/>
      <w:kern w:val="0"/>
      <w:sz w:val="20"/>
      <w:szCs w:val="20"/>
      <w:lang w:val="ru-RU" w:eastAsia="en-US" w:bidi="ar-SA"/>
    </w:rPr>
  </w:style>
  <w:style w:type="paragraph" w:styleId="NoSpacing">
    <w:name w:val="No Spacing"/>
    <w:qFormat/>
    <w:rsid w:val="00261503"/>
    <w:pPr>
      <w:widowControl/>
      <w:suppressAutoHyphens w:val="true"/>
      <w:bidi w:val="0"/>
      <w:spacing w:before="0" w:after="0"/>
      <w:jc w:val="left"/>
    </w:pPr>
    <w:rPr>
      <w:rFonts w:ascii="Calibri" w:hAnsi="Calibri" w:eastAsia="Segoe UI" w:cs="Tahoma"/>
      <w:color w:val="auto"/>
      <w:kern w:val="0"/>
      <w:sz w:val="22"/>
      <w:szCs w:val="22"/>
      <w:lang w:val="ru-RU" w:eastAsia="ru-RU" w:bidi="ar-SA"/>
    </w:rPr>
  </w:style>
  <w:style w:type="paragraph" w:styleId="ConsPlusCell" w:customStyle="1">
    <w:name w:val="ConsPlusCell"/>
    <w:qFormat/>
    <w:rsid w:val="00261503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ru-RU" w:bidi="ar-SA"/>
    </w:rPr>
  </w:style>
  <w:style w:type="paragraph" w:styleId="Style24" w:customStyle="1">
    <w:name w:val="Верхний и нижний колонтитулы"/>
    <w:basedOn w:val="Normal"/>
    <w:qFormat/>
    <w:rsid w:val="00261503"/>
    <w:pPr/>
    <w:rPr/>
  </w:style>
  <w:style w:type="paragraph" w:styleId="Style25">
    <w:name w:val="Колонтитул"/>
    <w:basedOn w:val="Normal"/>
    <w:qFormat/>
    <w:pPr/>
    <w:rPr/>
  </w:style>
  <w:style w:type="paragraph" w:styleId="Style26" w:customStyle="1">
    <w:name w:val="Header"/>
    <w:basedOn w:val="Normal"/>
    <w:rsid w:val="0026150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7" w:customStyle="1">
    <w:name w:val="Footer"/>
    <w:basedOn w:val="Normal"/>
    <w:rsid w:val="0026150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DocumentMap">
    <w:name w:val="Document Map"/>
    <w:basedOn w:val="Normal"/>
    <w:qFormat/>
    <w:rsid w:val="00261503"/>
    <w:pPr>
      <w:spacing w:lineRule="auto" w:line="240" w:before="0" w:after="0"/>
    </w:pPr>
    <w:rPr>
      <w:rFonts w:ascii="Tahoma" w:hAnsi="Tahoma"/>
      <w:sz w:val="16"/>
      <w:szCs w:val="16"/>
    </w:rPr>
  </w:style>
  <w:style w:type="paragraph" w:styleId="BalloonText">
    <w:name w:val="Balloon Text"/>
    <w:basedOn w:val="Normal"/>
    <w:qFormat/>
    <w:rsid w:val="00261503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28" w:customStyle="1">
    <w:name w:val="Содержимое таблицы"/>
    <w:basedOn w:val="Normal"/>
    <w:qFormat/>
    <w:rsid w:val="00261503"/>
    <w:pPr>
      <w:widowControl w:val="false"/>
      <w:suppressLineNumbers/>
    </w:pPr>
    <w:rPr/>
  </w:style>
  <w:style w:type="paragraph" w:styleId="Style29" w:customStyle="1">
    <w:name w:val="Заголовок таблицы"/>
    <w:basedOn w:val="Style28"/>
    <w:qFormat/>
    <w:rsid w:val="00261503"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consultantplus://offline/ref=A08CC0658C145BBFFFD1885DAE956401F1F9F62CA37B6CF2F94B89E88674F446F91560823427jEN5I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2712</TotalTime>
  <Application>LibreOffice/7.4.2.3$Windows_X86_64 LibreOffice_project/382eef1f22670f7f4118c8c2dd222ec7ad009daf</Application>
  <AppVersion>15.0000</AppVersion>
  <Pages>8</Pages>
  <Words>1343</Words>
  <Characters>8692</Characters>
  <CharactersWithSpaces>10105</CharactersWithSpaces>
  <Paragraphs>488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2014-05-19T12:16:00Z</dcterms:created>
  <dc:creator>SarkisovaMG</dc:creator>
  <dc:description/>
  <dc:language>ru-RU</dc:language>
  <cp:lastModifiedBy/>
  <dcterms:modified xsi:type="dcterms:W3CDTF">2023-03-28T10:51:08Z</dcterms:modified>
  <cp:revision>142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